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0349.0" w:type="dxa"/>
        <w:jc w:val="left"/>
        <w:tblInd w:w="-34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350"/>
        <w:gridCol w:w="3690"/>
        <w:gridCol w:w="1568"/>
        <w:gridCol w:w="3741"/>
        <w:tblGridChange w:id="0">
          <w:tblGrid>
            <w:gridCol w:w="1350"/>
            <w:gridCol w:w="3690"/>
            <w:gridCol w:w="1568"/>
            <w:gridCol w:w="3741"/>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Thelen Subaru</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THEL-SU-T200</w:t>
            </w:r>
            <w:r w:rsidDel="00000000" w:rsidR="00000000" w:rsidRPr="00000000">
              <w:rPr>
                <w:rFonts w:ascii="Arial Narrow" w:cs="Arial Narrow" w:eastAsia="Arial Narrow" w:hAnsi="Arial Narrow"/>
                <w:rtl w:val="0"/>
              </w:rPr>
              <w:t xml:space="preserve">4</w:t>
            </w:r>
            <w:r w:rsidDel="00000000" w:rsidR="00000000" w:rsidRPr="00000000">
              <w:rPr>
                <w:rFonts w:ascii="Arial Narrow" w:cs="Arial Narrow" w:eastAsia="Arial Narrow" w:hAnsi="Arial Narrow"/>
                <w:b w:val="1"/>
                <w:vertAlign w:val="baseline"/>
                <w:rtl w:val="0"/>
              </w:rPr>
              <w:t xml:space="preserve">01 </w:t>
            </w:r>
            <w:r w:rsidDel="00000000" w:rsidR="00000000" w:rsidRPr="00000000">
              <w:rPr>
                <w:rFonts w:ascii="Arial Narrow" w:cs="Arial Narrow" w:eastAsia="Arial Narrow" w:hAnsi="Arial Narrow"/>
                <w:rtl w:val="0"/>
              </w:rPr>
              <w:t xml:space="preserve">Subaru Safety</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Larry H</w:t>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4</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8</w:t>
            </w:r>
            <w:r w:rsidDel="00000000" w:rsidR="00000000" w:rsidRPr="00000000">
              <w:rPr>
                <w:rFonts w:ascii="Arial Narrow" w:cs="Arial Narrow" w:eastAsia="Arial Narrow" w:hAnsi="Arial Narrow"/>
                <w:sz w:val="24"/>
                <w:szCs w:val="24"/>
                <w:vertAlign w:val="baseline"/>
                <w:rtl w:val="0"/>
              </w:rPr>
              <w:t xml:space="preserve">/20</w:t>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950"/>
        <w:gridCol w:w="1755"/>
        <w:gridCol w:w="4560"/>
        <w:tblGridChange w:id="0">
          <w:tblGrid>
            <w:gridCol w:w="4950"/>
            <w:gridCol w:w="1755"/>
            <w:gridCol w:w="4560"/>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542" w:hRule="atLeast"/>
        </w:trPr>
        <w:tc>
          <w:tcPr>
            <w:vAlign w:val="top"/>
          </w:tcPr>
          <w:p w:rsidR="00000000" w:rsidDel="00000000" w:rsidP="00000000" w:rsidRDefault="00000000" w:rsidRPr="00000000" w14:paraId="00000017">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Think Thelen Logo</w:t>
            </w:r>
            <w:r w:rsidDel="00000000" w:rsidR="00000000" w:rsidRPr="00000000">
              <w:rPr>
                <w:rtl w:val="0"/>
              </w:rPr>
            </w:r>
          </w:p>
          <w:p w:rsidR="00000000" w:rsidDel="00000000" w:rsidP="00000000" w:rsidRDefault="00000000" w:rsidRPr="00000000" w14:paraId="00000018">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Euclid Ave. – Bay City</w:t>
            </w:r>
            <w:r w:rsidDel="00000000" w:rsidR="00000000" w:rsidRPr="00000000">
              <w:rPr>
                <w:rtl w:val="0"/>
              </w:rPr>
            </w:r>
          </w:p>
          <w:p w:rsidR="00000000" w:rsidDel="00000000" w:rsidP="00000000" w:rsidRDefault="00000000" w:rsidRPr="00000000" w14:paraId="00000019">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ThelenSubaru.com</w:t>
            </w:r>
            <w:r w:rsidDel="00000000" w:rsidR="00000000" w:rsidRPr="00000000">
              <w:rPr>
                <w:rtl w:val="0"/>
              </w:rPr>
            </w:r>
          </w:p>
          <w:p w:rsidR="00000000" w:rsidDel="00000000" w:rsidP="00000000" w:rsidRDefault="00000000" w:rsidRPr="00000000" w14:paraId="0000001A">
            <w:pPr>
              <w:jc w:val="left"/>
              <w:rPr>
                <w:rFonts w:ascii="Arial Narrow" w:cs="Arial Narrow" w:eastAsia="Arial Narrow" w:hAnsi="Arial Narrow"/>
                <w:b w:val="0"/>
                <w:sz w:val="16"/>
                <w:szCs w:val="16"/>
                <w:vertAlign w:val="baseline"/>
              </w:rPr>
            </w:pPr>
            <w:r w:rsidDel="00000000" w:rsidR="00000000" w:rsidRPr="00000000">
              <w:rPr>
                <w:rtl w:val="0"/>
              </w:rPr>
            </w:r>
          </w:p>
          <w:p w:rsidR="00000000" w:rsidDel="00000000" w:rsidP="00000000" w:rsidRDefault="00000000" w:rsidRPr="00000000" w14:paraId="0000001B">
            <w:pPr>
              <w:jc w:val="left"/>
              <w:rPr>
                <w:sz w:val="16"/>
                <w:szCs w:val="16"/>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2020 Subaru Outback</w:t>
            </w:r>
            <w:r w:rsidDel="00000000" w:rsidR="00000000" w:rsidRPr="00000000">
              <w:rPr>
                <w:rtl w:val="0"/>
              </w:rPr>
            </w:r>
          </w:p>
          <w:p w:rsidR="00000000" w:rsidDel="00000000" w:rsidP="00000000" w:rsidRDefault="00000000" w:rsidRPr="00000000" w14:paraId="0000001D">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EyeSight Driver Assist</w:t>
            </w:r>
          </w:p>
          <w:p w:rsidR="00000000" w:rsidDel="00000000" w:rsidP="00000000" w:rsidRDefault="00000000" w:rsidRPr="00000000" w14:paraId="0000001E">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Automatic Pre-Collision Breaking</w:t>
            </w:r>
          </w:p>
          <w:p w:rsidR="00000000" w:rsidDel="00000000" w:rsidP="00000000" w:rsidRDefault="00000000" w:rsidRPr="00000000" w14:paraId="0000001F">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Adaptive Cruise Control</w:t>
            </w:r>
            <w:r w:rsidDel="00000000" w:rsidR="00000000" w:rsidRPr="00000000">
              <w:rPr>
                <w:rtl w:val="0"/>
              </w:rPr>
            </w:r>
          </w:p>
          <w:p w:rsidR="00000000" w:rsidDel="00000000" w:rsidP="00000000" w:rsidRDefault="00000000" w:rsidRPr="00000000" w14:paraId="00000020">
            <w:pPr>
              <w:jc w:val="left"/>
              <w:rPr>
                <w:rFonts w:ascii="Arial Narrow" w:cs="Arial Narrow" w:eastAsia="Arial Narrow" w:hAnsi="Arial Narrow"/>
                <w:sz w:val="16"/>
                <w:szCs w:val="16"/>
              </w:rPr>
            </w:pPr>
            <w:r w:rsidDel="00000000" w:rsidR="00000000" w:rsidRPr="00000000">
              <w:rPr>
                <w:rFonts w:ascii="Arial" w:cs="Arial" w:eastAsia="Arial" w:hAnsi="Arial"/>
                <w:sz w:val="16"/>
                <w:szCs w:val="16"/>
                <w:highlight w:val="white"/>
                <w:rtl w:val="0"/>
              </w:rPr>
              <w:t xml:space="preserve">E</w:t>
            </w:r>
            <w:r w:rsidDel="00000000" w:rsidR="00000000" w:rsidRPr="00000000">
              <w:rPr>
                <w:rFonts w:ascii="Arial Narrow" w:cs="Arial Narrow" w:eastAsia="Arial Narrow" w:hAnsi="Arial Narrow"/>
                <w:sz w:val="16"/>
                <w:szCs w:val="16"/>
                <w:highlight w:val="white"/>
                <w:rtl w:val="0"/>
              </w:rPr>
              <w:t xml:space="preserve">yeSight is a driver assist technology which may not operate optimally under all driving conditions. Advanced Adaptive Cruise Control and Brake Light Recognition are designed to assist the driver and are not substitutes for safe and attentive driving. Lane Keep Assist operates only when the lane markings are visible. The driver is always responsible for safe and attentive driving. System effectiveness depends on many factors, such as vehicle maintenance, weather, and road conditions. Lane centering function operates only when used in conjunction with Advanced Adaptive Cruise Control. See your owner’s manual for complete details on system operations and limitations.</w:t>
            </w:r>
            <w:r w:rsidDel="00000000" w:rsidR="00000000" w:rsidRPr="00000000">
              <w:rPr>
                <w:rtl w:val="0"/>
              </w:rPr>
            </w:r>
          </w:p>
          <w:p w:rsidR="00000000" w:rsidDel="00000000" w:rsidP="00000000" w:rsidRDefault="00000000" w:rsidRPr="00000000" w14:paraId="00000021">
            <w:pPr>
              <w:jc w:val="left"/>
              <w:rPr>
                <w:sz w:val="16"/>
                <w:szCs w:val="16"/>
              </w:rPr>
            </w:pP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2020 Subaru Outback</w:t>
            </w:r>
            <w:r w:rsidDel="00000000" w:rsidR="00000000" w:rsidRPr="00000000">
              <w:rPr>
                <w:rtl w:val="0"/>
              </w:rPr>
            </w:r>
          </w:p>
          <w:p w:rsidR="00000000" w:rsidDel="00000000" w:rsidP="00000000" w:rsidRDefault="00000000" w:rsidRPr="00000000" w14:paraId="00000023">
            <w:pPr>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2020 IIHS Top Safety Pick (logo)</w:t>
            </w: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6">
            <w:pPr>
              <w:jc w:val="center"/>
              <w:rPr>
                <w:rFonts w:ascii="Arial Narrow" w:cs="Arial Narrow" w:eastAsia="Arial Narrow" w:hAnsi="Arial Narrow"/>
                <w:b w:val="0"/>
                <w:sz w:val="16"/>
                <w:szCs w:val="16"/>
                <w:vertAlign w:val="baseline"/>
              </w:rPr>
            </w:pPr>
            <w:r w:rsidDel="00000000" w:rsidR="00000000" w:rsidRPr="00000000">
              <w:rPr>
                <w:rtl w:val="0"/>
              </w:rPr>
            </w:r>
          </w:p>
          <w:p w:rsidR="00000000" w:rsidDel="00000000" w:rsidP="00000000" w:rsidRDefault="00000000" w:rsidRPr="00000000" w14:paraId="00000027">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2020 Subaru Outback</w:t>
            </w:r>
            <w:r w:rsidDel="00000000" w:rsidR="00000000" w:rsidRPr="00000000">
              <w:rPr>
                <w:rtl w:val="0"/>
              </w:rPr>
            </w:r>
          </w:p>
          <w:p w:rsidR="00000000" w:rsidDel="00000000" w:rsidP="00000000" w:rsidRDefault="00000000" w:rsidRPr="00000000" w14:paraId="00000028">
            <w:pPr>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2020 Kelly Blue Book – Best Resale Value Awards (logo)</w:t>
            </w:r>
            <w:r w:rsidDel="00000000" w:rsidR="00000000" w:rsidRPr="00000000">
              <w:rPr>
                <w:rtl w:val="0"/>
              </w:rPr>
            </w:r>
          </w:p>
          <w:p w:rsidR="00000000" w:rsidDel="00000000" w:rsidP="00000000" w:rsidRDefault="00000000" w:rsidRPr="00000000" w14:paraId="00000029">
            <w:pPr>
              <w:jc w:val="center"/>
              <w:rPr>
                <w:rFonts w:ascii="Arial Narrow" w:cs="Arial Narrow" w:eastAsia="Arial Narrow" w:hAnsi="Arial Narrow"/>
                <w:b w:val="0"/>
                <w:sz w:val="16"/>
                <w:szCs w:val="16"/>
                <w:vertAlign w:val="baseline"/>
              </w:rPr>
            </w:pPr>
            <w:r w:rsidDel="00000000" w:rsidR="00000000" w:rsidRPr="00000000">
              <w:rPr>
                <w:rFonts w:ascii="Arial Narrow" w:cs="Arial Narrow" w:eastAsia="Arial Narrow" w:hAnsi="Arial Narrow"/>
                <w:sz w:val="16"/>
                <w:szCs w:val="16"/>
                <w:rtl w:val="0"/>
              </w:rPr>
              <w:t xml:space="preserve">Vehicle's projected resale value is specific to the 2020 model year. For more information, visit Kelley Blue Book's </w:t>
            </w:r>
            <w:hyperlink r:id="rId7">
              <w:r w:rsidDel="00000000" w:rsidR="00000000" w:rsidRPr="00000000">
                <w:rPr>
                  <w:rFonts w:ascii="Arial Narrow" w:cs="Arial Narrow" w:eastAsia="Arial Narrow" w:hAnsi="Arial Narrow"/>
                  <w:sz w:val="16"/>
                  <w:szCs w:val="16"/>
                  <w:u w:val="single"/>
                  <w:rtl w:val="0"/>
                </w:rPr>
                <w:t xml:space="preserve">KBB.com</w:t>
              </w:r>
            </w:hyperlink>
            <w:r w:rsidDel="00000000" w:rsidR="00000000" w:rsidRPr="00000000">
              <w:rPr>
                <w:rFonts w:ascii="Arial Narrow" w:cs="Arial Narrow" w:eastAsia="Arial Narrow" w:hAnsi="Arial Narrow"/>
                <w:sz w:val="16"/>
                <w:szCs w:val="16"/>
                <w:rtl w:val="0"/>
              </w:rPr>
              <w:t xml:space="preserve">. Kelley Blue Book is a registered trademark of Kelley Blue Book Co., Inc.  </w:t>
            </w:r>
            <w:r w:rsidDel="00000000" w:rsidR="00000000" w:rsidRPr="00000000">
              <w:rPr>
                <w:rFonts w:ascii="Arial Narrow" w:cs="Arial Narrow" w:eastAsia="Arial Narrow" w:hAnsi="Arial Narrow"/>
                <w:sz w:val="16"/>
                <w:szCs w:val="16"/>
                <w:vertAlign w:val="baseline"/>
                <w:rtl w:val="0"/>
              </w:rPr>
              <w:t xml:space="preserve"> </w:t>
            </w:r>
            <w:r w:rsidDel="00000000" w:rsidR="00000000" w:rsidRPr="00000000">
              <w:rPr>
                <w:rtl w:val="0"/>
              </w:rPr>
            </w:r>
          </w:p>
          <w:p w:rsidR="00000000" w:rsidDel="00000000" w:rsidP="00000000" w:rsidRDefault="00000000" w:rsidRPr="00000000" w14:paraId="0000002A">
            <w:pPr>
              <w:jc w:val="center"/>
              <w:rPr>
                <w:rFonts w:ascii="Arial Narrow" w:cs="Arial Narrow" w:eastAsia="Arial Narrow" w:hAnsi="Arial Narrow"/>
                <w:b w:val="0"/>
                <w:sz w:val="18"/>
                <w:szCs w:val="18"/>
                <w:vertAlign w:val="baseline"/>
              </w:rPr>
            </w:pPr>
            <w:r w:rsidDel="00000000" w:rsidR="00000000" w:rsidRPr="00000000">
              <w:rPr>
                <w:rtl w:val="0"/>
              </w:rPr>
            </w:r>
          </w:p>
          <w:p w:rsidR="00000000" w:rsidDel="00000000" w:rsidP="00000000" w:rsidRDefault="00000000" w:rsidRPr="00000000" w14:paraId="0000002B">
            <w:pPr>
              <w:jc w:val="center"/>
              <w:rPr>
                <w:rFonts w:ascii="Arial Narrow" w:cs="Arial Narrow" w:eastAsia="Arial Narrow" w:hAnsi="Arial Narrow"/>
                <w:b w:val="0"/>
                <w:sz w:val="24"/>
                <w:szCs w:val="24"/>
                <w:vertAlign w:val="baseline"/>
              </w:rPr>
            </w:pPr>
            <w:r w:rsidDel="00000000" w:rsidR="00000000" w:rsidRPr="00000000">
              <w:rPr>
                <w:rtl w:val="0"/>
              </w:rPr>
            </w:r>
          </w:p>
          <w:p w:rsidR="00000000" w:rsidDel="00000000" w:rsidP="00000000" w:rsidRDefault="00000000" w:rsidRPr="00000000" w14:paraId="0000002C">
            <w:pPr>
              <w:jc w:val="center"/>
              <w:rPr>
                <w:rFonts w:ascii="Arial Narrow" w:cs="Arial Narrow" w:eastAsia="Arial Narrow" w:hAnsi="Arial Narrow"/>
                <w:b w:val="0"/>
                <w:color w:val="4472c4"/>
                <w:sz w:val="16"/>
                <w:szCs w:val="16"/>
                <w:vertAlign w:val="baseline"/>
              </w:rPr>
            </w:pP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E">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Think Thelen Logo</w:t>
            </w:r>
            <w:r w:rsidDel="00000000" w:rsidR="00000000" w:rsidRPr="00000000">
              <w:rPr>
                <w:rtl w:val="0"/>
              </w:rPr>
            </w:r>
          </w:p>
          <w:p w:rsidR="00000000" w:rsidDel="00000000" w:rsidP="00000000" w:rsidRDefault="00000000" w:rsidRPr="00000000" w14:paraId="0000002F">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Euclid Ave. – Bay City</w:t>
            </w:r>
            <w:r w:rsidDel="00000000" w:rsidR="00000000" w:rsidRPr="00000000">
              <w:rPr>
                <w:rtl w:val="0"/>
              </w:rPr>
            </w:r>
          </w:p>
          <w:p w:rsidR="00000000" w:rsidDel="00000000" w:rsidP="00000000" w:rsidRDefault="00000000" w:rsidRPr="00000000" w14:paraId="00000030">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ThelenSubaru.com</w:t>
            </w:r>
            <w:r w:rsidDel="00000000" w:rsidR="00000000" w:rsidRPr="00000000">
              <w:rPr>
                <w:rtl w:val="0"/>
              </w:rPr>
            </w:r>
          </w:p>
          <w:p w:rsidR="00000000" w:rsidDel="00000000" w:rsidP="00000000" w:rsidRDefault="00000000" w:rsidRPr="00000000" w14:paraId="00000031">
            <w:pPr>
              <w:jc w:val="center"/>
              <w:rPr>
                <w:rFonts w:ascii="Arial Narrow" w:cs="Arial Narrow" w:eastAsia="Arial Narrow" w:hAnsi="Arial Narrow"/>
                <w:sz w:val="24"/>
                <w:szCs w:val="24"/>
                <w:vertAlign w:val="baseline"/>
              </w:rPr>
            </w:pPr>
            <w:r w:rsidDel="00000000" w:rsidR="00000000" w:rsidRPr="00000000">
              <w:rPr>
                <w:rFonts w:ascii="Calibri" w:cs="Calibri" w:eastAsia="Calibri" w:hAnsi="Calibri"/>
                <w:sz w:val="24"/>
                <w:szCs w:val="24"/>
                <w:vertAlign w:val="baseline"/>
              </w:rPr>
              <w:drawing>
                <wp:inline distB="0" distT="0" distL="114300" distR="114300">
                  <wp:extent cx="2433320" cy="648970"/>
                  <wp:effectExtent b="0" l="0" r="0" t="0"/>
                  <wp:docPr id="3"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2433320" cy="64897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3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4">
            <w:pPr>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vertAlign w:val="baseline"/>
                <w:rtl w:val="0"/>
              </w:rPr>
              <w:t xml:space="preserve">Text:  </w:t>
            </w:r>
            <w:r w:rsidDel="00000000" w:rsidR="00000000" w:rsidRPr="00000000">
              <w:rPr>
                <w:rFonts w:ascii="Arial Narrow" w:cs="Arial Narrow" w:eastAsia="Arial Narrow" w:hAnsi="Arial Narrow"/>
                <w:b w:val="1"/>
                <w:vertAlign w:val="baseline"/>
                <w:rtl w:val="0"/>
              </w:rPr>
              <w:t xml:space="preserve">Thinking About </w:t>
            </w:r>
            <w:r w:rsidDel="00000000" w:rsidR="00000000" w:rsidRPr="00000000">
              <w:rPr>
                <w:rFonts w:ascii="Arial Narrow" w:cs="Arial Narrow" w:eastAsia="Arial Narrow" w:hAnsi="Arial Narrow"/>
                <w:b w:val="1"/>
                <w:rtl w:val="0"/>
              </w:rPr>
              <w:t xml:space="preserve">Safety? Longevity?</w:t>
            </w: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rPr>
            </w:pPr>
            <w:r w:rsidDel="00000000" w:rsidR="00000000" w:rsidRPr="00000000">
              <w:rPr>
                <w:rFonts w:ascii="Arial Narrow" w:cs="Arial Narrow" w:eastAsia="Arial Narrow" w:hAnsi="Arial Narrow"/>
                <w:vertAlign w:val="baseline"/>
                <w:rtl w:val="0"/>
              </w:rPr>
              <w:t xml:space="preserve">GFX:  </w:t>
            </w:r>
            <w:r w:rsidDel="00000000" w:rsidR="00000000" w:rsidRPr="00000000">
              <w:rPr>
                <w:rFonts w:ascii="Arial Narrow" w:cs="Arial Narrow" w:eastAsia="Arial Narrow" w:hAnsi="Arial Narrow"/>
                <w:rtl w:val="0"/>
              </w:rPr>
              <w:t xml:space="preserve">2020 Subaru Outback Photos</w:t>
            </w:r>
          </w:p>
          <w:p w:rsidR="00000000" w:rsidDel="00000000" w:rsidP="00000000" w:rsidRDefault="00000000" w:rsidRPr="00000000" w14:paraId="0000003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rPr>
                <w:rFonts w:ascii="Arial Narrow" w:cs="Arial Narrow" w:eastAsia="Arial Narrow" w:hAnsi="Arial Narrow"/>
              </w:rPr>
            </w:pPr>
            <w:r w:rsidDel="00000000" w:rsidR="00000000" w:rsidRPr="00000000">
              <w:rPr>
                <w:rFonts w:ascii="Arial Narrow" w:cs="Arial Narrow" w:eastAsia="Arial Narrow" w:hAnsi="Arial Narrow"/>
              </w:rPr>
              <w:drawing>
                <wp:inline distB="0" distT="0" distL="114300" distR="114300">
                  <wp:extent cx="946150" cy="549275"/>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946150" cy="54927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0">
            <w:pPr>
              <w:rPr>
                <w:rFonts w:ascii="Arial Narrow" w:cs="Arial Narrow" w:eastAsia="Arial Narrow" w:hAnsi="Arial Narrow"/>
                <w:vertAlign w:val="baseline"/>
              </w:rPr>
            </w:pPr>
            <w:r w:rsidDel="00000000" w:rsidR="00000000" w:rsidRPr="00000000">
              <w:rPr>
                <w:rFonts w:ascii="Arial Narrow" w:cs="Arial Narrow" w:eastAsia="Arial Narrow" w:hAnsi="Arial Narrow"/>
              </w:rPr>
              <w:drawing>
                <wp:inline distB="0" distT="0" distL="114300" distR="114300">
                  <wp:extent cx="942975" cy="420370"/>
                  <wp:effectExtent b="0" l="0" r="0" t="0"/>
                  <wp:docPr id="4"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942975" cy="42037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jc w:val="left"/>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2">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3">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4">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5">
            <w:pPr>
              <w:jc w:val="center"/>
              <w:rPr>
                <w:rFonts w:ascii="Arial Narrow" w:cs="Arial Narrow" w:eastAsia="Arial Narrow" w:hAnsi="Arial Narrow"/>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46">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7">
            <w:pPr>
              <w:rPr>
                <w:rFonts w:ascii="Calibri" w:cs="Calibri" w:eastAsia="Calibri" w:hAnsi="Calibri"/>
                <w:b w:val="0"/>
                <w:sz w:val="24"/>
                <w:szCs w:val="24"/>
                <w:u w:val="single"/>
                <w:vertAlign w:val="baseline"/>
              </w:rPr>
            </w:pPr>
            <w:r w:rsidDel="00000000" w:rsidR="00000000" w:rsidRPr="00000000">
              <w:rPr>
                <w:rFonts w:ascii="Calibri" w:cs="Calibri" w:eastAsia="Calibri" w:hAnsi="Calibri"/>
                <w:b w:val="1"/>
                <w:sz w:val="24"/>
                <w:szCs w:val="24"/>
                <w:u w:val="single"/>
                <w:vertAlign w:val="baseline"/>
                <w:rtl w:val="0"/>
              </w:rPr>
              <w:t xml:space="preserve">Announcer:  (:30)</w:t>
            </w: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vertAlign w:val="baseline"/>
                <w:rtl w:val="0"/>
              </w:rPr>
              <w:t xml:space="preserve">Thinking about</w:t>
            </w:r>
            <w:r w:rsidDel="00000000" w:rsidR="00000000" w:rsidRPr="00000000">
              <w:rPr>
                <w:rFonts w:ascii="Calibri" w:cs="Calibri" w:eastAsia="Calibri" w:hAnsi="Calibri"/>
                <w:sz w:val="24"/>
                <w:szCs w:val="24"/>
                <w:rtl w:val="0"/>
              </w:rPr>
              <w:t xml:space="preserve"> safety </w:t>
            </w:r>
            <w:r w:rsidDel="00000000" w:rsidR="00000000" w:rsidRPr="00000000">
              <w:rPr>
                <w:rFonts w:ascii="Calibri" w:cs="Calibri" w:eastAsia="Calibri" w:hAnsi="Calibri"/>
                <w:b w:val="1"/>
                <w:i w:val="1"/>
                <w:sz w:val="24"/>
                <w:szCs w:val="24"/>
                <w:rtl w:val="0"/>
              </w:rPr>
              <w:t xml:space="preserve">and </w:t>
            </w:r>
            <w:r w:rsidDel="00000000" w:rsidR="00000000" w:rsidRPr="00000000">
              <w:rPr>
                <w:rFonts w:ascii="Calibri" w:cs="Calibri" w:eastAsia="Calibri" w:hAnsi="Calibri"/>
                <w:sz w:val="24"/>
                <w:szCs w:val="24"/>
                <w:rtl w:val="0"/>
              </w:rPr>
              <w:t xml:space="preserve">dependability?</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Then Think Thelen, Think Subaru. </w:t>
            </w:r>
          </w:p>
          <w:p w:rsidR="00000000" w:rsidDel="00000000" w:rsidP="00000000" w:rsidRDefault="00000000" w:rsidRPr="00000000" w14:paraId="0000004B">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Safety comes standard when you drive</w:t>
            </w:r>
            <w:r w:rsidDel="00000000" w:rsidR="00000000" w:rsidRPr="00000000">
              <w:rPr>
                <w:rFonts w:ascii="Calibri" w:cs="Calibri" w:eastAsia="Calibri" w:hAnsi="Calibri"/>
                <w:sz w:val="24"/>
                <w:szCs w:val="24"/>
                <w:vertAlign w:val="baseline"/>
                <w:rtl w:val="0"/>
              </w:rPr>
              <w:t xml:space="preserve"> a 2020 Subaru Outback</w:t>
            </w:r>
            <w:r w:rsidDel="00000000" w:rsidR="00000000" w:rsidRPr="00000000">
              <w:rPr>
                <w:rFonts w:ascii="Calibri" w:cs="Calibri" w:eastAsia="Calibri" w:hAnsi="Calibri"/>
                <w:sz w:val="24"/>
                <w:szCs w:val="24"/>
                <w:rtl w:val="0"/>
              </w:rPr>
              <w:t xml:space="preserve">, from Thelen Subaru.</w:t>
            </w:r>
            <w:r w:rsidDel="00000000" w:rsidR="00000000" w:rsidRPr="00000000">
              <w:rPr>
                <w:rFonts w:ascii="Calibri" w:cs="Calibri" w:eastAsia="Calibri" w:hAnsi="Calibri"/>
                <w:sz w:val="24"/>
                <w:szCs w:val="24"/>
                <w:vertAlign w:val="baseline"/>
                <w:rtl w:val="0"/>
              </w:rPr>
              <w:t xml:space="preserve"> </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safety features like EyeSight Driver Assist, Automatic Pre-Collision Breaking, and Adaptive Cruise Control…</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no wonder the 2020 Subaru Outback is </w:t>
            </w:r>
            <w:r w:rsidDel="00000000" w:rsidR="00000000" w:rsidRPr="00000000">
              <w:rPr>
                <w:rFonts w:ascii="Calibri" w:cs="Calibri" w:eastAsia="Calibri" w:hAnsi="Calibri"/>
                <w:sz w:val="24"/>
                <w:szCs w:val="24"/>
                <w:vertAlign w:val="baseline"/>
                <w:rtl w:val="0"/>
              </w:rPr>
              <w:t xml:space="preserve">an IIHS Top Safety P</w:t>
            </w:r>
            <w:r w:rsidDel="00000000" w:rsidR="00000000" w:rsidRPr="00000000">
              <w:rPr>
                <w:rFonts w:ascii="Calibri" w:cs="Calibri" w:eastAsia="Calibri" w:hAnsi="Calibri"/>
                <w:sz w:val="24"/>
                <w:szCs w:val="24"/>
                <w:rtl w:val="0"/>
              </w:rPr>
              <w:t xml:space="preserve">ick!</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Plus, it</w:t>
            </w:r>
            <w:r w:rsidDel="00000000" w:rsidR="00000000" w:rsidRPr="00000000">
              <w:rPr>
                <w:rFonts w:ascii="Calibri" w:cs="Calibri" w:eastAsia="Calibri" w:hAnsi="Calibri"/>
                <w:sz w:val="24"/>
                <w:szCs w:val="24"/>
                <w:vertAlign w:val="baseline"/>
                <w:rtl w:val="0"/>
              </w:rPr>
              <w:t xml:space="preserve"> retains its value </w:t>
            </w:r>
            <w:r w:rsidDel="00000000" w:rsidR="00000000" w:rsidRPr="00000000">
              <w:rPr>
                <w:rFonts w:ascii="Calibri" w:cs="Calibri" w:eastAsia="Calibri" w:hAnsi="Calibri"/>
                <w:b w:val="1"/>
                <w:i w:val="1"/>
                <w:sz w:val="24"/>
                <w:szCs w:val="24"/>
                <w:vertAlign w:val="baseline"/>
                <w:rtl w:val="0"/>
              </w:rPr>
              <w:t xml:space="preserve">better </w:t>
            </w:r>
            <w:r w:rsidDel="00000000" w:rsidR="00000000" w:rsidRPr="00000000">
              <w:rPr>
                <w:rFonts w:ascii="Calibri" w:cs="Calibri" w:eastAsia="Calibri" w:hAnsi="Calibri"/>
                <w:sz w:val="24"/>
                <w:szCs w:val="24"/>
                <w:vertAlign w:val="baseline"/>
                <w:rtl w:val="0"/>
              </w:rPr>
              <w:t xml:space="preserve">than any other in its class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4">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So think safety. Think dependability. Think Thelen. It’s the right thing to do. </w:t>
            </w: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Thelen</w:t>
            </w:r>
            <w:r w:rsidDel="00000000" w:rsidR="00000000" w:rsidRPr="00000000">
              <w:rPr>
                <w:rFonts w:ascii="Calibri" w:cs="Calibri" w:eastAsia="Calibri" w:hAnsi="Calibri"/>
                <w:sz w:val="24"/>
                <w:szCs w:val="24"/>
                <w:vertAlign w:val="baseline"/>
                <w:rtl w:val="0"/>
              </w:rPr>
              <w:t xml:space="preserve"> Subaru</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vertAlign w:val="baseline"/>
                <w:rtl w:val="0"/>
              </w:rPr>
              <w:t xml:space="preserve"> Euclid Avenue</w:t>
            </w:r>
            <w:r w:rsidDel="00000000" w:rsidR="00000000" w:rsidRPr="00000000">
              <w:rPr>
                <w:rFonts w:ascii="Calibri" w:cs="Calibri" w:eastAsia="Calibri" w:hAnsi="Calibri"/>
                <w:sz w:val="24"/>
                <w:szCs w:val="24"/>
                <w:rtl w:val="0"/>
              </w:rPr>
              <w:t xml:space="preserve">, Bay City.</w:t>
            </w:r>
            <w:r w:rsidDel="00000000" w:rsidR="00000000" w:rsidRPr="00000000">
              <w:rPr>
                <w:rtl w:val="0"/>
              </w:rPr>
            </w:r>
          </w:p>
        </w:tc>
      </w:tr>
    </w:tbl>
    <w:p w:rsidR="00000000" w:rsidDel="00000000" w:rsidP="00000000" w:rsidRDefault="00000000" w:rsidRPr="00000000" w14:paraId="00000059">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Approved:_______</w:t>
        <w:tab/>
        <w:t xml:space="preserve">     Approved with Changes: </w:t>
      </w:r>
      <w:r w:rsidDel="00000000" w:rsidR="00000000" w:rsidRPr="00000000">
        <w:rPr>
          <w:rFonts w:ascii="Arial Narrow" w:cs="Arial Narrow" w:eastAsia="Arial Narrow" w:hAnsi="Arial Narrow"/>
          <w:sz w:val="24"/>
          <w:szCs w:val="24"/>
          <w:u w:val="single"/>
          <w:vertAlign w:val="baseline"/>
          <w:rtl w:val="0"/>
        </w:rPr>
        <w:tab/>
        <w:tab/>
      </w:r>
      <w:r w:rsidDel="00000000" w:rsidR="00000000" w:rsidRPr="00000000">
        <w:rPr>
          <w:rFonts w:ascii="Arial Narrow" w:cs="Arial Narrow" w:eastAsia="Arial Narrow" w:hAnsi="Arial Narrow"/>
          <w:vertAlign w:val="baseline"/>
          <w:rtl w:val="0"/>
        </w:rPr>
        <w:tab/>
        <w:t xml:space="preserve">Client Signature: _________________________________</w:t>
        <w:tab/>
      </w:r>
    </w:p>
    <w:sectPr>
      <w:pgSz w:h="15840" w:w="12240"/>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www.kbb.com/" TargetMode="External"/><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